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B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6C045B" w:rsidRPr="00A77B42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G – Performance Plan</w:t>
      </w:r>
    </w:p>
    <w:bookmarkEnd w:id="0"/>
    <w:p w:rsidR="006C045B" w:rsidRPr="00A77B42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3"/>
          <w:szCs w:val="23"/>
        </w:rPr>
        <w:t>FY2014 Mayor’s Office on A</w:t>
      </w:r>
      <w:r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Affairs A</w:t>
      </w:r>
      <w:r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Community Grant</w:t>
      </w: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628"/>
        <w:gridCol w:w="1192"/>
        <w:gridCol w:w="1238"/>
        <w:gridCol w:w="1260"/>
        <w:gridCol w:w="1260"/>
        <w:gridCol w:w="2790"/>
      </w:tblGrid>
      <w:tr w:rsidR="006C045B" w:rsidTr="001835A2">
        <w:tc>
          <w:tcPr>
            <w:tcW w:w="2628" w:type="dxa"/>
            <w:shd w:val="clear" w:color="auto" w:fill="000000" w:themeFill="text1"/>
          </w:tcPr>
          <w:p w:rsidR="006C045B" w:rsidRP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Performance </w:t>
            </w: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Measures</w:t>
            </w:r>
            <w:proofErr w:type="spellEnd"/>
          </w:p>
        </w:tc>
        <w:tc>
          <w:tcPr>
            <w:tcW w:w="1192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38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3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4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279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24"/>
              </w:rPr>
            </w:pP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6C045B" w:rsidRDefault="0028101E" w:rsidP="006C045B"/>
    <w:sectPr w:rsidR="0028101E" w:rsidRPr="006C045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6C045B"/>
    <w:rsid w:val="00B37DB2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2014-04-10T19:44:00Z</dcterms:created>
  <dcterms:modified xsi:type="dcterms:W3CDTF">2014-04-10T19:44:00Z</dcterms:modified>
</cp:coreProperties>
</file>